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7AAAD9AA" w:rsidR="00A526B8" w:rsidRPr="0031361B" w:rsidRDefault="00A526B8" w:rsidP="00A526B8">
      <w:pPr>
        <w:jc w:val="right"/>
      </w:pPr>
      <w:r w:rsidRPr="0031361B">
        <w:br/>
      </w:r>
      <w:r>
        <w:t>2</w:t>
      </w:r>
      <w:r w:rsidR="00F361FD">
        <w:t>4</w:t>
      </w:r>
      <w:r>
        <w:t>/05/2026</w:t>
      </w:r>
    </w:p>
    <w:p w14:paraId="05F6CF09" w14:textId="27100D54" w:rsidR="00F361FD" w:rsidRPr="00F361FD" w:rsidRDefault="00A526B8" w:rsidP="00F361FD">
      <w:r w:rsidRPr="0031361B">
        <w:rPr>
          <w:b/>
          <w:bCs/>
        </w:rPr>
        <w:t>Private and Confidential</w:t>
      </w:r>
      <w:r w:rsidRPr="0031361B">
        <w:br/>
      </w:r>
      <w:r w:rsidR="00F361FD">
        <w:t>Jennifer Dunbar,</w:t>
      </w:r>
      <w:r w:rsidRPr="0031361B">
        <w:br/>
      </w:r>
      <w:r w:rsidR="00F361FD" w:rsidRPr="00F361FD">
        <w:t xml:space="preserve">7 </w:t>
      </w:r>
      <w:proofErr w:type="spellStart"/>
      <w:r w:rsidR="00F361FD" w:rsidRPr="00F361FD">
        <w:t>Firrhill</w:t>
      </w:r>
      <w:proofErr w:type="spellEnd"/>
      <w:r w:rsidR="00F361FD" w:rsidRPr="00F361FD">
        <w:t xml:space="preserve"> Park,</w:t>
      </w:r>
      <w:r w:rsidR="00F361FD">
        <w:br/>
      </w:r>
      <w:r w:rsidR="00F361FD" w:rsidRPr="00F361FD">
        <w:t>Edinburgh,</w:t>
      </w:r>
      <w:r w:rsidR="00F361FD">
        <w:br/>
      </w:r>
      <w:r w:rsidR="00F361FD" w:rsidRPr="00F361FD">
        <w:t>EH13 9DP</w:t>
      </w:r>
    </w:p>
    <w:p w14:paraId="67D7FDB4" w14:textId="687144FD" w:rsidR="00A526B8" w:rsidRPr="0031361B" w:rsidRDefault="00A526B8" w:rsidP="00A526B8"/>
    <w:p w14:paraId="642CE1FE" w14:textId="77777777" w:rsidR="00A526B8" w:rsidRDefault="00A526B8" w:rsidP="00A526B8"/>
    <w:p w14:paraId="28E6B3ED" w14:textId="27CB9E84" w:rsidR="00A526B8" w:rsidRDefault="00A526B8" w:rsidP="00A526B8">
      <w:r w:rsidRPr="0031361B">
        <w:t xml:space="preserve">Dear </w:t>
      </w:r>
      <w:r w:rsidR="00F361FD">
        <w:t>Jennifer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3D29C534" w14:textId="77777777" w:rsidR="00F361FD" w:rsidRDefault="00F361FD" w:rsidP="00A526B8"/>
    <w:p w14:paraId="563ABB44" w14:textId="77777777" w:rsidR="00F361FD" w:rsidRDefault="00F361FD" w:rsidP="00A526B8"/>
    <w:p w14:paraId="01A1FC47" w14:textId="77777777" w:rsidR="00F361FD" w:rsidRDefault="00F361FD" w:rsidP="00A526B8"/>
    <w:p w14:paraId="396657A3" w14:textId="494BF27A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>0203 004 6549, via a WhatsApp/text message on 07984 815011,</w:t>
      </w:r>
      <w:r w:rsidRPr="0031361B">
        <w:t xml:space="preserve"> or by email at </w:t>
      </w:r>
      <w:hyperlink r:id="rId6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0EB4" w14:textId="77777777" w:rsidR="0013660E" w:rsidRDefault="0013660E" w:rsidP="00A526B8">
      <w:pPr>
        <w:spacing w:after="0" w:line="240" w:lineRule="auto"/>
      </w:pPr>
      <w:r>
        <w:separator/>
      </w:r>
    </w:p>
  </w:endnote>
  <w:endnote w:type="continuationSeparator" w:id="0">
    <w:p w14:paraId="0AA398B7" w14:textId="77777777" w:rsidR="0013660E" w:rsidRDefault="0013660E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3C07" w14:textId="77777777" w:rsidR="0013660E" w:rsidRDefault="0013660E" w:rsidP="00A526B8">
      <w:pPr>
        <w:spacing w:after="0" w:line="240" w:lineRule="auto"/>
      </w:pPr>
      <w:r>
        <w:separator/>
      </w:r>
    </w:p>
  </w:footnote>
  <w:footnote w:type="continuationSeparator" w:id="0">
    <w:p w14:paraId="254A23EC" w14:textId="77777777" w:rsidR="0013660E" w:rsidRDefault="0013660E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13660E"/>
    <w:rsid w:val="001C1DCD"/>
    <w:rsid w:val="00475550"/>
    <w:rsid w:val="005F690F"/>
    <w:rsid w:val="00960B06"/>
    <w:rsid w:val="009726B1"/>
    <w:rsid w:val="00A526B8"/>
    <w:rsid w:val="00D71CFE"/>
    <w:rsid w:val="00F3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aikerlegal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2422D6-FB89-402A-BE51-2DBF36CCB1E8}"/>
</file>

<file path=customXml/itemProps2.xml><?xml version="1.0" encoding="utf-8"?>
<ds:datastoreItem xmlns:ds="http://schemas.openxmlformats.org/officeDocument/2006/customXml" ds:itemID="{D3F37D00-6F67-4CCC-BBCE-5239C664695E}"/>
</file>

<file path=customXml/itemProps3.xml><?xml version="1.0" encoding="utf-8"?>
<ds:datastoreItem xmlns:ds="http://schemas.openxmlformats.org/officeDocument/2006/customXml" ds:itemID="{C32B5B17-ACAE-457E-A2AB-C4C472E8A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1792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2</cp:revision>
  <dcterms:created xsi:type="dcterms:W3CDTF">2026-05-24T08:34:00Z</dcterms:created>
  <dcterms:modified xsi:type="dcterms:W3CDTF">2026-05-24T08:34:00Z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