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D9BD7CA-DB09-4D61-A369-488F34B9B963}"/>
</file>

<file path=customXml/itemProps3.xml><?xml version="1.0" encoding="utf-8"?>
<ds:datastoreItem xmlns:ds="http://schemas.openxmlformats.org/officeDocument/2006/customXml" ds:itemID="{3C2CF45B-BE7A-4578-A631-8D4AF27BA877}"/>
</file>

<file path=customXml/itemProps4.xml><?xml version="1.0" encoding="utf-8"?>
<ds:datastoreItem xmlns:ds="http://schemas.openxmlformats.org/officeDocument/2006/customXml" ds:itemID="{7CB54EFE-DAEA-4DB8-862B-2A7648E20E58}"/>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