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2013F8AE"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E01F27" w:rsidRPr="00E01F27">
        <w:rPr>
          <w:b/>
          <w:bCs/>
          <w:noProof/>
          <w:color w:val="FF0000"/>
          <w14:ligatures w14:val="standardContextual"/>
        </w:rPr>
        <w:t>APP888021</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all of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 xml:space="preserve">About </w:t>
      </w:r>
      <w:proofErr w:type="spellStart"/>
      <w:r>
        <w:t>30cm</w:t>
      </w:r>
      <w:proofErr w:type="spellEnd"/>
      <w:r>
        <w:t xml:space="preserve">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proofErr w:type="spellStart"/>
            <w:r w:rsidRPr="003A0876">
              <w:rPr>
                <w:sz w:val="22"/>
                <w:szCs w:val="22"/>
              </w:rPr>
              <w:t>DWP</w:t>
            </w:r>
            <w:proofErr w:type="spellEnd"/>
            <w:r w:rsidRPr="003A0876">
              <w:rPr>
                <w:sz w:val="22"/>
                <w:szCs w:val="22"/>
              </w:rPr>
              <w:t xml:space="preserve">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proofErr w:type="spellStart"/>
            <w:r w:rsidRPr="003A0876">
              <w:rPr>
                <w:sz w:val="22"/>
                <w:szCs w:val="22"/>
              </w:rPr>
              <w:t>P45</w:t>
            </w:r>
            <w:proofErr w:type="spellEnd"/>
            <w:r w:rsidRPr="003A0876">
              <w:rPr>
                <w:sz w:val="22"/>
                <w:szCs w:val="22"/>
              </w:rPr>
              <w:t xml:space="preserve"> or </w:t>
            </w:r>
            <w:proofErr w:type="spellStart"/>
            <w:r w:rsidRPr="003A0876">
              <w:rPr>
                <w:sz w:val="22"/>
                <w:szCs w:val="22"/>
              </w:rPr>
              <w:t>P60</w:t>
            </w:r>
            <w:proofErr w:type="spellEnd"/>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 xml:space="preserve">Lines are open Monday to Thursday, from </w:t>
      </w:r>
      <w:proofErr w:type="spellStart"/>
      <w:r w:rsidRPr="00AF71E4">
        <w:t>10am</w:t>
      </w:r>
      <w:proofErr w:type="spellEnd"/>
      <w:r w:rsidRPr="00AF71E4">
        <w:t xml:space="preserve"> to </w:t>
      </w:r>
      <w:proofErr w:type="spellStart"/>
      <w:r w:rsidRPr="00AF71E4">
        <w:t>4pm</w:t>
      </w:r>
      <w:proofErr w:type="spellEnd"/>
      <w:r w:rsidRPr="00AF71E4">
        <w:t xml:space="preserve">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5CE6" w14:textId="77777777" w:rsidR="00FC720C" w:rsidRDefault="00FC720C" w:rsidP="00B45B0E">
      <w:r>
        <w:separator/>
      </w:r>
    </w:p>
  </w:endnote>
  <w:endnote w:type="continuationSeparator" w:id="0">
    <w:p w14:paraId="6A0255EB" w14:textId="77777777" w:rsidR="00FC720C" w:rsidRDefault="00FC720C"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E695" w14:textId="77777777" w:rsidR="00FC720C" w:rsidRDefault="00FC720C" w:rsidP="00B45B0E">
      <w:r>
        <w:separator/>
      </w:r>
    </w:p>
  </w:footnote>
  <w:footnote w:type="continuationSeparator" w:id="0">
    <w:p w14:paraId="7BAE1A5B" w14:textId="77777777" w:rsidR="00FC720C" w:rsidRDefault="00FC720C"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04DA9"/>
    <w:rsid w:val="00111781"/>
    <w:rsid w:val="001206E0"/>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10F4"/>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4732A"/>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20809"/>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BE326F"/>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B0EB8"/>
    <w:rsid w:val="00DC3879"/>
    <w:rsid w:val="00DC7FEF"/>
    <w:rsid w:val="00DF3889"/>
    <w:rsid w:val="00E005D5"/>
    <w:rsid w:val="00E0094E"/>
    <w:rsid w:val="00E01B6A"/>
    <w:rsid w:val="00E01F27"/>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645F"/>
    <w:rsid w:val="00FA1122"/>
    <w:rsid w:val="00FA381F"/>
    <w:rsid w:val="00FA4BBD"/>
    <w:rsid w:val="00FA4BC1"/>
    <w:rsid w:val="00FB45AF"/>
    <w:rsid w:val="00FC07B5"/>
    <w:rsid w:val="00FC720C"/>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2025-12-15T08:48:52Z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599416C8-6FEF-4B2D-860D-9B5D5C6F4795}"/>
</file>

<file path=customXml/itemProps5.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5840</Characters>
  <Application>Microsoft Office Word</Application>
  <DocSecurity>0</DocSecurity>
  <Lines>171</Lines>
  <Paragraphs>82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Claudia Goldie</cp:lastModifiedBy>
  <cp:revision>2</cp:revision>
  <dcterms:created xsi:type="dcterms:W3CDTF">2026-01-14T12:39:00Z</dcterms:created>
  <dcterms:modified xsi:type="dcterms:W3CDTF">2026-01-14T12:39:00Z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2025-12-15T08:48:52Z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