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59FD8DBD" w:rsidR="00F01BE5" w:rsidRPr="00167887" w:rsidRDefault="002426FF">
      <w:pPr>
        <w:spacing w:after="318" w:line="259" w:lineRule="auto"/>
        <w:ind w:left="869" w:right="0"/>
        <w:jc w:val="left"/>
        <w:rPr>
          <w:rFonts w:ascii="Calibri" w:hAnsi="Calibri" w:cs="Calibri"/>
          <w:sz w:val="22"/>
          <w:szCs w:val="22"/>
        </w:rPr>
      </w:pPr>
      <w:r>
        <w:rPr>
          <w:rFonts w:ascii="Calibri" w:hAnsi="Calibri" w:cs="Calibri"/>
          <w:sz w:val="22"/>
          <w:szCs w:val="22"/>
        </w:rPr>
        <w:t xml:space="preserve">Updated - </w:t>
      </w:r>
      <w:r w:rsidR="00E92F32" w:rsidRPr="00167887">
        <w:rPr>
          <w:rFonts w:ascii="Calibri" w:hAnsi="Calibri" w:cs="Calibri"/>
          <w:sz w:val="22"/>
          <w:szCs w:val="22"/>
        </w:rPr>
        <w:t xml:space="preserve">Agreement Date: </w:t>
      </w:r>
      <w:r w:rsidR="00594527">
        <w:rPr>
          <w:rFonts w:ascii="Calibri" w:hAnsi="Calibri" w:cs="Calibri"/>
          <w:b/>
          <w:bCs/>
          <w:sz w:val="22"/>
          <w:szCs w:val="22"/>
        </w:rPr>
        <w:t>9</w:t>
      </w:r>
      <w:r w:rsidR="00024009" w:rsidRPr="00024009">
        <w:rPr>
          <w:rFonts w:ascii="Calibri" w:hAnsi="Calibri" w:cs="Calibri"/>
          <w:b/>
          <w:bCs/>
          <w:sz w:val="22"/>
          <w:szCs w:val="22"/>
          <w:vertAlign w:val="superscript"/>
        </w:rPr>
        <w:t>th</w:t>
      </w:r>
      <w:r w:rsidR="00024009">
        <w:rPr>
          <w:rFonts w:ascii="Calibri" w:hAnsi="Calibri" w:cs="Calibri"/>
          <w:b/>
          <w:bCs/>
          <w:sz w:val="22"/>
          <w:szCs w:val="22"/>
        </w:rPr>
        <w:t xml:space="preserve"> February 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783AE929"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1C507B">
        <w:rPr>
          <w:rFonts w:ascii="Calibri" w:hAnsi="Calibri" w:cs="Calibri"/>
          <w:b/>
          <w:bCs/>
          <w:sz w:val="22"/>
          <w:szCs w:val="22"/>
        </w:rPr>
        <w:t xml:space="preserve">John Houton </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10A7637" w14:textId="2266A5D7" w:rsidR="00C279D3"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C279D3">
        <w:rPr>
          <w:rFonts w:ascii="Calibri" w:hAnsi="Calibri" w:cs="Calibri"/>
          <w:sz w:val="22"/>
          <w:szCs w:val="22"/>
        </w:rPr>
        <w:t xml:space="preserve"> </w:t>
      </w:r>
      <w:r w:rsidRPr="00167887">
        <w:rPr>
          <w:rFonts w:ascii="Calibri" w:hAnsi="Calibri" w:cs="Calibri"/>
          <w:sz w:val="22"/>
          <w:szCs w:val="22"/>
        </w:rPr>
        <w:t xml:space="preserve">Name: </w:t>
      </w:r>
      <w:r w:rsidR="001C507B">
        <w:rPr>
          <w:rFonts w:ascii="Calibri" w:hAnsi="Calibri" w:cs="Calibri"/>
          <w:sz w:val="22"/>
          <w:szCs w:val="22"/>
        </w:rPr>
        <w:t>John Houton</w:t>
      </w:r>
    </w:p>
    <w:p w14:paraId="46D06FEF" w14:textId="58CD41EF"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52D296E8" w14:textId="38B1D316" w:rsidR="00C3777A" w:rsidRPr="005A411B" w:rsidRDefault="00E92F32" w:rsidP="00811701">
      <w:pPr>
        <w:spacing w:after="0" w:line="259" w:lineRule="auto"/>
        <w:ind w:left="0" w:right="0" w:firstLine="0"/>
        <w:jc w:val="left"/>
        <w:rPr>
          <w:rFonts w:ascii="Calibri" w:hAnsi="Calibri" w:cs="Calibri"/>
          <w:b/>
          <w:bCs/>
          <w:sz w:val="22"/>
          <w:szCs w:val="22"/>
        </w:rPr>
      </w:pPr>
      <w:r w:rsidRPr="00167887">
        <w:rPr>
          <w:rFonts w:ascii="Calibri" w:hAnsi="Calibri" w:cs="Calibri"/>
          <w:sz w:val="22"/>
          <w:szCs w:val="22"/>
        </w:rPr>
        <w:t xml:space="preserve"> </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ADF731F" w14:textId="77777777" w:rsidR="005F18CE"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r w:rsidR="0084053A">
        <w:rPr>
          <w:rFonts w:ascii="Calibri" w:hAnsi="Calibri" w:cs="Calibri"/>
          <w:sz w:val="22"/>
          <w:szCs w:val="22"/>
        </w:rPr>
        <w:t xml:space="preserve"> - </w:t>
      </w:r>
    </w:p>
    <w:p w14:paraId="371EAA84" w14:textId="308E5C36" w:rsidR="00195C41" w:rsidRDefault="00D666C2" w:rsidP="00543722">
      <w:pPr>
        <w:tabs>
          <w:tab w:val="center" w:pos="1452"/>
          <w:tab w:val="center" w:pos="3500"/>
        </w:tabs>
        <w:ind w:left="869" w:right="0" w:firstLine="0"/>
        <w:jc w:val="left"/>
        <w:rPr>
          <w:rFonts w:ascii="Calibri" w:hAnsi="Calibri" w:cs="Calibri"/>
          <w:sz w:val="22"/>
          <w:szCs w:val="22"/>
        </w:rPr>
      </w:pPr>
      <w:r>
        <w:rPr>
          <w:rFonts w:ascii="Calibri" w:hAnsi="Calibri" w:cs="Calibri"/>
          <w:b/>
          <w:bCs/>
          <w:sz w:val="22"/>
          <w:szCs w:val="22"/>
        </w:rPr>
        <w:t>Aiker Legal Limited</w:t>
      </w:r>
      <w:r w:rsidRPr="00D666C2">
        <w:rPr>
          <w:rFonts w:ascii="Calibri" w:hAnsi="Calibri" w:cs="Calibri"/>
          <w:sz w:val="22"/>
          <w:szCs w:val="22"/>
        </w:rPr>
        <w:t>-</w:t>
      </w:r>
      <w:r w:rsidR="008F3B44">
        <w:rPr>
          <w:rFonts w:ascii="Calibri" w:hAnsi="Calibri" w:cs="Calibri"/>
          <w:sz w:val="22"/>
          <w:szCs w:val="22"/>
        </w:rPr>
        <w:t>Director of Compliance</w:t>
      </w:r>
      <w:r w:rsidR="00172DEF">
        <w:rPr>
          <w:rFonts w:ascii="Calibri" w:hAnsi="Calibri" w:cs="Calibri"/>
          <w:sz w:val="22"/>
          <w:szCs w:val="22"/>
        </w:rPr>
        <w:t xml:space="preserve">                         </w:t>
      </w:r>
    </w:p>
    <w:p w14:paraId="1FFDECE9" w14:textId="3376BAD8"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DA99" w14:textId="77777777" w:rsidR="005A7554" w:rsidRDefault="005A7554">
      <w:pPr>
        <w:spacing w:after="0" w:line="240" w:lineRule="auto"/>
      </w:pPr>
      <w:r>
        <w:separator/>
      </w:r>
    </w:p>
  </w:endnote>
  <w:endnote w:type="continuationSeparator" w:id="0">
    <w:p w14:paraId="418DACE9" w14:textId="77777777" w:rsidR="005A7554" w:rsidRDefault="005A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107587AC" w:rsidR="009B0127" w:rsidRPr="009B0127" w:rsidRDefault="00025D24" w:rsidP="001352C2">
    <w:pPr>
      <w:tabs>
        <w:tab w:val="center" w:pos="4438"/>
      </w:tabs>
      <w:spacing w:after="0" w:line="259" w:lineRule="auto"/>
      <w:ind w:left="0" w:right="0" w:firstLine="0"/>
      <w:jc w:val="center"/>
      <w:rPr>
        <w:color w:val="002060"/>
        <w:sz w:val="18"/>
        <w:szCs w:val="18"/>
      </w:rPr>
    </w:pPr>
    <w:r>
      <w:rPr>
        <w:color w:val="002060"/>
        <w:sz w:val="18"/>
        <w:szCs w:val="18"/>
      </w:rPr>
      <w:t>Support</w:t>
    </w:r>
    <w:r w:rsidR="009B0127" w:rsidRPr="009B0127">
      <w:rPr>
        <w:color w:val="002060"/>
        <w:sz w:val="18"/>
        <w:szCs w:val="18"/>
      </w:rPr>
      <w:t xml:space="preserve">@aikerlegal.org </w:t>
    </w:r>
    <w:r w:rsidR="001334B9">
      <w:rPr>
        <w:color w:val="002060"/>
        <w:sz w:val="18"/>
        <w:szCs w:val="18"/>
      </w:rPr>
      <w:t xml:space="preserve">   </w:t>
    </w:r>
    <w:r w:rsidR="009B0127" w:rsidRPr="009B0127">
      <w:rPr>
        <w:color w:val="002060"/>
        <w:sz w:val="18"/>
        <w:szCs w:val="18"/>
      </w:rPr>
      <w:t xml:space="preserve">www.aikerlegal.org </w:t>
    </w:r>
    <w:r w:rsidR="009B0127"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DCB1" w14:textId="77777777" w:rsidR="005A7554" w:rsidRDefault="005A7554">
      <w:pPr>
        <w:spacing w:after="0" w:line="240" w:lineRule="auto"/>
      </w:pPr>
      <w:r>
        <w:separator/>
      </w:r>
    </w:p>
  </w:footnote>
  <w:footnote w:type="continuationSeparator" w:id="0">
    <w:p w14:paraId="3FB91A70" w14:textId="77777777" w:rsidR="005A7554" w:rsidRDefault="005A7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4009"/>
    <w:rsid w:val="00025D24"/>
    <w:rsid w:val="00025DB1"/>
    <w:rsid w:val="0002725C"/>
    <w:rsid w:val="00085A49"/>
    <w:rsid w:val="00087FDD"/>
    <w:rsid w:val="000B3D80"/>
    <w:rsid w:val="000D160D"/>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507B"/>
    <w:rsid w:val="001C7A3B"/>
    <w:rsid w:val="001D4CAB"/>
    <w:rsid w:val="0020606B"/>
    <w:rsid w:val="00215DE1"/>
    <w:rsid w:val="0023293B"/>
    <w:rsid w:val="00234F8A"/>
    <w:rsid w:val="002426FF"/>
    <w:rsid w:val="00243B7D"/>
    <w:rsid w:val="00244E60"/>
    <w:rsid w:val="00245522"/>
    <w:rsid w:val="00275A17"/>
    <w:rsid w:val="00283C6E"/>
    <w:rsid w:val="002878B9"/>
    <w:rsid w:val="00292A99"/>
    <w:rsid w:val="002B1321"/>
    <w:rsid w:val="002B3821"/>
    <w:rsid w:val="002B76B4"/>
    <w:rsid w:val="002D4BAB"/>
    <w:rsid w:val="002E1524"/>
    <w:rsid w:val="002E513E"/>
    <w:rsid w:val="002F71CD"/>
    <w:rsid w:val="00303172"/>
    <w:rsid w:val="00312973"/>
    <w:rsid w:val="00333E7D"/>
    <w:rsid w:val="0033466C"/>
    <w:rsid w:val="003361E3"/>
    <w:rsid w:val="0035164D"/>
    <w:rsid w:val="00361C0F"/>
    <w:rsid w:val="00365A73"/>
    <w:rsid w:val="00380F85"/>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02692"/>
    <w:rsid w:val="0053305B"/>
    <w:rsid w:val="0054096F"/>
    <w:rsid w:val="00543722"/>
    <w:rsid w:val="00556BF9"/>
    <w:rsid w:val="00562DC6"/>
    <w:rsid w:val="00592725"/>
    <w:rsid w:val="00594527"/>
    <w:rsid w:val="005A411B"/>
    <w:rsid w:val="005A7554"/>
    <w:rsid w:val="005A77BD"/>
    <w:rsid w:val="005D53A0"/>
    <w:rsid w:val="005E564F"/>
    <w:rsid w:val="005F12C9"/>
    <w:rsid w:val="005F18CE"/>
    <w:rsid w:val="005F62B6"/>
    <w:rsid w:val="00605DD8"/>
    <w:rsid w:val="006079FA"/>
    <w:rsid w:val="006205C6"/>
    <w:rsid w:val="00625EEC"/>
    <w:rsid w:val="00632B00"/>
    <w:rsid w:val="00636249"/>
    <w:rsid w:val="00643A48"/>
    <w:rsid w:val="00654FA5"/>
    <w:rsid w:val="00666A8E"/>
    <w:rsid w:val="00671B2B"/>
    <w:rsid w:val="00677BD4"/>
    <w:rsid w:val="006847D9"/>
    <w:rsid w:val="00686E42"/>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6497A"/>
    <w:rsid w:val="00780098"/>
    <w:rsid w:val="00782654"/>
    <w:rsid w:val="0078328E"/>
    <w:rsid w:val="007908A2"/>
    <w:rsid w:val="007962B4"/>
    <w:rsid w:val="007C3CF2"/>
    <w:rsid w:val="007E381F"/>
    <w:rsid w:val="007E54AF"/>
    <w:rsid w:val="007E64FC"/>
    <w:rsid w:val="00801BE2"/>
    <w:rsid w:val="00803FFA"/>
    <w:rsid w:val="008045C0"/>
    <w:rsid w:val="00811701"/>
    <w:rsid w:val="00812AD5"/>
    <w:rsid w:val="00824B95"/>
    <w:rsid w:val="00826AC8"/>
    <w:rsid w:val="00830BD3"/>
    <w:rsid w:val="0084053A"/>
    <w:rsid w:val="00852EAB"/>
    <w:rsid w:val="008A2385"/>
    <w:rsid w:val="008B27EE"/>
    <w:rsid w:val="008D1A74"/>
    <w:rsid w:val="008D3EF0"/>
    <w:rsid w:val="008D430B"/>
    <w:rsid w:val="008E301D"/>
    <w:rsid w:val="008E4364"/>
    <w:rsid w:val="008F3327"/>
    <w:rsid w:val="008F3B44"/>
    <w:rsid w:val="008F76CE"/>
    <w:rsid w:val="008F7EA5"/>
    <w:rsid w:val="00902F81"/>
    <w:rsid w:val="0091061C"/>
    <w:rsid w:val="00914F6B"/>
    <w:rsid w:val="00944F3D"/>
    <w:rsid w:val="00945B2F"/>
    <w:rsid w:val="00967DF8"/>
    <w:rsid w:val="00972B31"/>
    <w:rsid w:val="00974931"/>
    <w:rsid w:val="009B0127"/>
    <w:rsid w:val="009D1AAE"/>
    <w:rsid w:val="009D6D61"/>
    <w:rsid w:val="009E2BA7"/>
    <w:rsid w:val="009E4F4F"/>
    <w:rsid w:val="009F23BC"/>
    <w:rsid w:val="009F787D"/>
    <w:rsid w:val="00A049CF"/>
    <w:rsid w:val="00A11042"/>
    <w:rsid w:val="00A322B9"/>
    <w:rsid w:val="00A34E39"/>
    <w:rsid w:val="00A35E1F"/>
    <w:rsid w:val="00A41480"/>
    <w:rsid w:val="00A41CD9"/>
    <w:rsid w:val="00A47545"/>
    <w:rsid w:val="00A56450"/>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279D3"/>
    <w:rsid w:val="00C3777A"/>
    <w:rsid w:val="00C579CA"/>
    <w:rsid w:val="00C65BFB"/>
    <w:rsid w:val="00C7399B"/>
    <w:rsid w:val="00C75073"/>
    <w:rsid w:val="00C764F7"/>
    <w:rsid w:val="00C973DE"/>
    <w:rsid w:val="00CD3301"/>
    <w:rsid w:val="00CF037C"/>
    <w:rsid w:val="00CF5D47"/>
    <w:rsid w:val="00D00E66"/>
    <w:rsid w:val="00D10304"/>
    <w:rsid w:val="00D15514"/>
    <w:rsid w:val="00D23344"/>
    <w:rsid w:val="00D5089D"/>
    <w:rsid w:val="00D53C7B"/>
    <w:rsid w:val="00D564EF"/>
    <w:rsid w:val="00D570A0"/>
    <w:rsid w:val="00D64EE5"/>
    <w:rsid w:val="00D65132"/>
    <w:rsid w:val="00D666C2"/>
    <w:rsid w:val="00D729F2"/>
    <w:rsid w:val="00D8286B"/>
    <w:rsid w:val="00D920C0"/>
    <w:rsid w:val="00DE0007"/>
    <w:rsid w:val="00DE1610"/>
    <w:rsid w:val="00DE2ACE"/>
    <w:rsid w:val="00DE59E4"/>
    <w:rsid w:val="00DF5337"/>
    <w:rsid w:val="00DF58FC"/>
    <w:rsid w:val="00E062E2"/>
    <w:rsid w:val="00E2712D"/>
    <w:rsid w:val="00E40F7D"/>
    <w:rsid w:val="00E665A0"/>
    <w:rsid w:val="00E70D7B"/>
    <w:rsid w:val="00E776FA"/>
    <w:rsid w:val="00E82ACA"/>
    <w:rsid w:val="00E92F32"/>
    <w:rsid w:val="00EA6826"/>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57417"/>
    <w:rsid w:val="00F62459"/>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1305</Words>
  <Characters>6156</Characters>
  <Application>Microsoft Office Word</Application>
  <DocSecurity>0</DocSecurity>
  <Lines>187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Michelle Sherratt</cp:lastModifiedBy>
  <cp:revision>3</cp:revision>
  <cp:lastPrinted>2026-02-09T12:16:00Z</cp:lastPrinted>
  <dcterms:created xsi:type="dcterms:W3CDTF">2026-02-09T12:18:00Z</dcterms:created>
  <dcterms:modified xsi:type="dcterms:W3CDTF">2026-02-09T12:24:00Z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